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9DB44">
      <w:pPr>
        <w:spacing w:before="0" w:line="887" w:lineRule="exact"/>
        <w:ind w:left="280" w:right="395" w:firstLine="0"/>
        <w:jc w:val="center"/>
        <w:rPr>
          <w:rFonts w:hint="eastAsia" w:ascii="黑体" w:eastAsia="黑体"/>
          <w:b/>
          <w:sz w:val="70"/>
        </w:rPr>
      </w:pPr>
      <w:r>
        <w:rPr>
          <w:rFonts w:hint="eastAsia" w:ascii="黑体" w:eastAsia="黑体"/>
          <w:b/>
          <w:color w:val="FF0000"/>
          <w:spacing w:val="142"/>
          <w:sz w:val="70"/>
        </w:rPr>
        <w:t>安徽省风景园林学会</w:t>
      </w:r>
    </w:p>
    <w:p w14:paraId="268D3885">
      <w:pPr>
        <w:spacing w:before="227"/>
        <w:ind w:left="278" w:right="395" w:firstLine="0"/>
        <w:jc w:val="center"/>
        <w:rPr>
          <w:rFonts w:hint="eastAsia" w:ascii="仿宋" w:eastAsia="仿宋"/>
          <w:sz w:val="32"/>
        </w:rPr>
      </w:pPr>
      <w:r>
        <w:pict>
          <v:line id="_x0000_s1026" o:spid="_x0000_s1026" o:spt="20" style="position:absolute;left:0pt;margin-left:81pt;margin-top:37.7pt;height:0pt;width:442.2pt;mso-position-horizontal-relative:page;z-index:-251657216;mso-width-relative:page;mso-height-relative:page;" stroked="t" coordsize="21600,21600">
            <v:path arrowok="t"/>
            <v:fill focussize="0,0"/>
            <v:stroke weight="3pt" color="#FF0000"/>
            <v:imagedata o:title=""/>
            <o:lock v:ext="edit"/>
          </v:line>
        </w:pict>
      </w:r>
      <w:r>
        <w:rPr>
          <w:rFonts w:hint="eastAsia" w:ascii="仿宋" w:eastAsia="仿宋"/>
          <w:sz w:val="32"/>
        </w:rPr>
        <w:t>安园学字〔</w:t>
      </w:r>
      <w:r>
        <w:rPr>
          <w:rFonts w:ascii="Times New Roman" w:eastAsia="Times New Roman"/>
          <w:sz w:val="32"/>
        </w:rPr>
        <w:t>20</w:t>
      </w:r>
      <w:r>
        <w:rPr>
          <w:rFonts w:hint="eastAsia" w:ascii="Times New Roman"/>
          <w:sz w:val="32"/>
          <w:lang w:val="en-US" w:eastAsia="zh-CN"/>
        </w:rPr>
        <w:t>24</w:t>
      </w:r>
      <w:r>
        <w:rPr>
          <w:rFonts w:hint="eastAsia" w:ascii="仿宋" w:eastAsia="仿宋"/>
          <w:sz w:val="32"/>
        </w:rPr>
        <w:t>〕</w:t>
      </w:r>
      <w:r>
        <w:rPr>
          <w:rFonts w:hint="eastAsia" w:ascii="仿宋" w:eastAsia="仿宋"/>
          <w:sz w:val="32"/>
          <w:lang w:val="en-US" w:eastAsia="zh-CN"/>
        </w:rPr>
        <w:t>008</w:t>
      </w:r>
      <w:r>
        <w:rPr>
          <w:rFonts w:hint="eastAsia" w:ascii="仿宋" w:eastAsia="仿宋"/>
          <w:sz w:val="32"/>
        </w:rPr>
        <w:t>号</w:t>
      </w:r>
    </w:p>
    <w:p w14:paraId="74FD0527">
      <w:pPr>
        <w:pStyle w:val="3"/>
        <w:spacing w:before="5"/>
        <w:ind w:left="0"/>
        <w:rPr>
          <w:rFonts w:ascii="仿宋"/>
          <w:sz w:val="30"/>
        </w:rPr>
      </w:pPr>
    </w:p>
    <w:p w14:paraId="47107F76">
      <w:pPr>
        <w:spacing w:before="0"/>
        <w:ind w:left="283" w:right="395" w:firstLine="0"/>
        <w:jc w:val="center"/>
        <w:rPr>
          <w:b/>
          <w:sz w:val="36"/>
        </w:rPr>
      </w:pPr>
      <w:r>
        <w:rPr>
          <w:b/>
          <w:color w:val="303030"/>
          <w:sz w:val="36"/>
        </w:rPr>
        <w:t>安徽省风景园林学会“优秀园林工程”奖评选办法</w:t>
      </w:r>
    </w:p>
    <w:p w14:paraId="33737DFC">
      <w:pPr>
        <w:pStyle w:val="2"/>
        <w:spacing w:before="250"/>
      </w:pPr>
      <w:r>
        <w:rPr>
          <w:color w:val="303030"/>
        </w:rPr>
        <w:t>一、总 则</w:t>
      </w:r>
    </w:p>
    <w:p w14:paraId="0FF969E2">
      <w:pPr>
        <w:pStyle w:val="3"/>
        <w:spacing w:before="91"/>
        <w:jc w:val="both"/>
        <w:rPr>
          <w:rFonts w:hint="eastAsia" w:ascii="宋体" w:hAnsi="宋体" w:eastAsia="宋体" w:cs="宋体"/>
          <w:sz w:val="24"/>
          <w:szCs w:val="24"/>
        </w:rPr>
      </w:pPr>
      <w:r>
        <w:rPr>
          <w:rFonts w:hint="eastAsia" w:ascii="宋体" w:hAnsi="宋体" w:eastAsia="宋体" w:cs="宋体"/>
          <w:color w:val="303030"/>
          <w:sz w:val="24"/>
          <w:szCs w:val="24"/>
        </w:rPr>
        <w:t>第一条、根据中国科协有关开展科技评奖的精神，遵照国家《质量振兴纲要》和</w:t>
      </w:r>
    </w:p>
    <w:p w14:paraId="25C7602D">
      <w:pPr>
        <w:pStyle w:val="3"/>
        <w:spacing w:line="312" w:lineRule="auto"/>
        <w:ind w:right="237"/>
        <w:jc w:val="both"/>
        <w:rPr>
          <w:rFonts w:hint="eastAsia" w:ascii="宋体" w:hAnsi="宋体" w:eastAsia="宋体" w:cs="宋体"/>
          <w:sz w:val="24"/>
          <w:szCs w:val="24"/>
        </w:rPr>
      </w:pPr>
      <w:r>
        <w:rPr>
          <w:rFonts w:hint="eastAsia" w:ascii="宋体" w:hAnsi="宋体" w:eastAsia="宋体" w:cs="宋体"/>
          <w:color w:val="303030"/>
          <w:spacing w:val="-9"/>
          <w:sz w:val="24"/>
          <w:szCs w:val="24"/>
        </w:rPr>
        <w:t>《建设工程质量管理条例》，鼓励本会会员积极开展园林绿化和园林古建施工的</w:t>
      </w:r>
      <w:r>
        <w:rPr>
          <w:rFonts w:hint="eastAsia" w:ascii="宋体" w:hAnsi="宋体" w:eastAsia="宋体" w:cs="宋体"/>
          <w:color w:val="303030"/>
          <w:spacing w:val="-10"/>
          <w:sz w:val="24"/>
          <w:szCs w:val="24"/>
        </w:rPr>
        <w:t>理论研究，创新施工方法、施工技术和施工工艺，推广新材料的应用，努力提高</w:t>
      </w:r>
      <w:r>
        <w:rPr>
          <w:rFonts w:hint="eastAsia" w:ascii="宋体" w:hAnsi="宋体" w:eastAsia="宋体" w:cs="宋体"/>
          <w:color w:val="303030"/>
          <w:spacing w:val="-8"/>
          <w:sz w:val="24"/>
          <w:szCs w:val="24"/>
        </w:rPr>
        <w:t>工程质量和管理水平，提升施工企业的知名度和公信力，安徽省风景园林学会组</w:t>
      </w:r>
      <w:r>
        <w:rPr>
          <w:rFonts w:hint="eastAsia" w:ascii="宋体" w:hAnsi="宋体" w:eastAsia="宋体" w:cs="宋体"/>
          <w:color w:val="303030"/>
          <w:spacing w:val="-10"/>
          <w:sz w:val="24"/>
          <w:szCs w:val="24"/>
        </w:rPr>
        <w:t>织开展“优秀园林工程”评选活动，奖名为安徽省风景园林学会“优秀园林绿化</w:t>
      </w:r>
      <w:r>
        <w:rPr>
          <w:rFonts w:hint="eastAsia" w:ascii="宋体" w:hAnsi="宋体" w:eastAsia="宋体" w:cs="宋体"/>
          <w:color w:val="303030"/>
          <w:sz w:val="24"/>
          <w:szCs w:val="24"/>
        </w:rPr>
        <w:t>工程”奖暨“园林杯”、“优秀项目经理” 奖。</w:t>
      </w:r>
    </w:p>
    <w:p w14:paraId="798CA68E">
      <w:pPr>
        <w:pStyle w:val="3"/>
        <w:spacing w:before="77" w:line="312" w:lineRule="auto"/>
        <w:ind w:right="237"/>
        <w:jc w:val="both"/>
        <w:rPr>
          <w:rFonts w:hint="eastAsia" w:ascii="宋体" w:hAnsi="宋体" w:eastAsia="宋体" w:cs="宋体"/>
          <w:sz w:val="24"/>
          <w:szCs w:val="24"/>
        </w:rPr>
      </w:pPr>
      <w:r>
        <w:rPr>
          <w:rFonts w:hint="eastAsia" w:ascii="宋体" w:hAnsi="宋体" w:eastAsia="宋体" w:cs="宋体"/>
          <w:color w:val="303030"/>
          <w:spacing w:val="-11"/>
          <w:sz w:val="24"/>
          <w:szCs w:val="24"/>
        </w:rPr>
        <w:t>第二条、“优秀园林工程”奖暨“园林杯”是安徽省风景园林学会设立的行业学会荣誉奖，评选对象为学会正式会员单位在安徽省内承建并经一年管护期后已交</w:t>
      </w:r>
      <w:r>
        <w:rPr>
          <w:rFonts w:hint="eastAsia" w:ascii="宋体" w:hAnsi="宋体" w:eastAsia="宋体" w:cs="宋体"/>
          <w:color w:val="303030"/>
          <w:sz w:val="24"/>
          <w:szCs w:val="24"/>
        </w:rPr>
        <w:t>付使用的园林绿化或园林古建工程。</w:t>
      </w:r>
    </w:p>
    <w:p w14:paraId="457874EF">
      <w:pPr>
        <w:pStyle w:val="3"/>
        <w:spacing w:before="1" w:line="312" w:lineRule="auto"/>
        <w:ind w:right="237"/>
        <w:jc w:val="both"/>
        <w:rPr>
          <w:rFonts w:hint="eastAsia" w:ascii="宋体" w:hAnsi="宋体" w:eastAsia="宋体" w:cs="宋体"/>
          <w:sz w:val="24"/>
          <w:szCs w:val="24"/>
        </w:rPr>
      </w:pPr>
      <w:r>
        <w:rPr>
          <w:rFonts w:hint="eastAsia" w:ascii="宋体" w:hAnsi="宋体" w:eastAsia="宋体" w:cs="宋体"/>
          <w:color w:val="303030"/>
          <w:spacing w:val="-11"/>
          <w:sz w:val="24"/>
          <w:szCs w:val="24"/>
        </w:rPr>
        <w:t>第三条、“优秀园林工程”奖项目由安徽省风景园林学会会员单位自愿申报，并</w:t>
      </w:r>
      <w:r>
        <w:rPr>
          <w:rFonts w:hint="eastAsia" w:ascii="宋体" w:hAnsi="宋体" w:eastAsia="宋体" w:cs="宋体"/>
          <w:color w:val="303030"/>
          <w:sz w:val="24"/>
          <w:szCs w:val="24"/>
        </w:rPr>
        <w:t>经企业所在地风景园林学、协会推荐。</w:t>
      </w:r>
    </w:p>
    <w:p w14:paraId="2CF9F5E8">
      <w:pPr>
        <w:pStyle w:val="3"/>
        <w:spacing w:before="0" w:line="312" w:lineRule="auto"/>
        <w:ind w:right="240"/>
        <w:jc w:val="both"/>
        <w:rPr>
          <w:rFonts w:hint="eastAsia" w:ascii="宋体" w:hAnsi="宋体" w:eastAsia="宋体" w:cs="宋体"/>
          <w:sz w:val="24"/>
          <w:szCs w:val="24"/>
        </w:rPr>
      </w:pPr>
      <w:r>
        <w:rPr>
          <w:rFonts w:hint="eastAsia" w:ascii="宋体" w:hAnsi="宋体" w:eastAsia="宋体" w:cs="宋体"/>
          <w:color w:val="303030"/>
          <w:sz w:val="24"/>
          <w:szCs w:val="24"/>
        </w:rPr>
        <w:t>第四条、“优秀园林工程”奖评选活动按照节约精神办事， 在评审过程中不收取申报费、评审费。</w:t>
      </w:r>
    </w:p>
    <w:p w14:paraId="54709B58">
      <w:pPr>
        <w:pStyle w:val="3"/>
        <w:spacing w:before="0" w:line="312" w:lineRule="auto"/>
        <w:ind w:right="235"/>
        <w:jc w:val="both"/>
        <w:rPr>
          <w:rFonts w:hint="eastAsia" w:ascii="宋体" w:hAnsi="宋体" w:eastAsia="宋体" w:cs="宋体"/>
          <w:sz w:val="24"/>
          <w:szCs w:val="24"/>
        </w:rPr>
      </w:pPr>
      <w:r>
        <w:rPr>
          <w:rFonts w:hint="eastAsia" w:ascii="宋体" w:hAnsi="宋体" w:eastAsia="宋体" w:cs="宋体"/>
          <w:color w:val="303030"/>
          <w:spacing w:val="-11"/>
          <w:sz w:val="24"/>
          <w:szCs w:val="24"/>
        </w:rPr>
        <w:t>第五条、“优秀园林工程”奖的评选工作由安徽风景园林学会优秀园林工程奖评</w:t>
      </w:r>
      <w:r>
        <w:rPr>
          <w:rFonts w:hint="eastAsia" w:ascii="宋体" w:hAnsi="宋体" w:eastAsia="宋体" w:cs="宋体"/>
          <w:color w:val="303030"/>
          <w:sz w:val="24"/>
          <w:szCs w:val="24"/>
        </w:rPr>
        <w:t>审专家组具体组织实施。</w:t>
      </w:r>
    </w:p>
    <w:p w14:paraId="1556DA87">
      <w:pPr>
        <w:pStyle w:val="2"/>
        <w:spacing w:before="1"/>
      </w:pPr>
      <w:r>
        <w:rPr>
          <w:color w:val="303030"/>
        </w:rPr>
        <w:t>二、申报条件</w:t>
      </w:r>
    </w:p>
    <w:p w14:paraId="2AFB5507">
      <w:pPr>
        <w:pStyle w:val="3"/>
        <w:spacing w:before="91"/>
        <w:jc w:val="both"/>
      </w:pPr>
      <w:r>
        <w:rPr>
          <w:color w:val="303030"/>
        </w:rPr>
        <w:t>第六条、申报“优秀园林绿化工程”奖的项目，要求绿化面积在 2 万平方米以上</w:t>
      </w:r>
    </w:p>
    <w:p w14:paraId="48475E08">
      <w:pPr>
        <w:pStyle w:val="3"/>
        <w:spacing w:before="94"/>
        <w:jc w:val="both"/>
      </w:pPr>
      <w:r>
        <w:rPr>
          <w:color w:val="303030"/>
        </w:rPr>
        <w:t>和</w:t>
      </w:r>
      <w:r>
        <w:t>工程投资额（以决算造价为准）</w:t>
      </w:r>
      <w:r>
        <w:rPr>
          <w:color w:val="303030"/>
        </w:rPr>
        <w:t>在 600 万元人民币以上。</w:t>
      </w:r>
    </w:p>
    <w:p w14:paraId="768F427B">
      <w:pPr>
        <w:pStyle w:val="3"/>
        <w:spacing w:line="312" w:lineRule="auto"/>
        <w:ind w:right="115"/>
        <w:jc w:val="both"/>
      </w:pPr>
      <w:r>
        <w:rPr>
          <w:color w:val="303030"/>
          <w:spacing w:val="-16"/>
        </w:rPr>
        <w:t>第七条、申报“优秀园林工程”奖的项目应设计合理，符合国家和行业设计标准、</w:t>
      </w:r>
      <w:r>
        <w:rPr>
          <w:color w:val="303030"/>
          <w:spacing w:val="-15"/>
        </w:rPr>
        <w:t xml:space="preserve">规范；施工符合国家和行业施工技术规范及有关技术标准要求；工程已验收合格， </w:t>
      </w:r>
      <w:r>
        <w:rPr>
          <w:color w:val="303030"/>
        </w:rPr>
        <w:t>并经过一年管护期，没有发现质量问题和隐患。</w:t>
      </w:r>
    </w:p>
    <w:p w14:paraId="3EEE28EA">
      <w:pPr>
        <w:pStyle w:val="3"/>
        <w:spacing w:before="1" w:line="312" w:lineRule="auto"/>
        <w:ind w:right="237"/>
        <w:jc w:val="both"/>
      </w:pPr>
      <w:r>
        <w:rPr>
          <w:color w:val="303030"/>
          <w:spacing w:val="-2"/>
        </w:rPr>
        <w:t>第八条、每个会员单位提交一个项目参评，但上一年度营业收入过</w:t>
      </w:r>
      <w:r>
        <w:rPr>
          <w:color w:val="auto"/>
          <w:spacing w:val="-2"/>
        </w:rPr>
        <w:t xml:space="preserve"> </w:t>
      </w:r>
      <w:r>
        <w:rPr>
          <w:rFonts w:hint="eastAsia"/>
          <w:color w:val="auto"/>
          <w:spacing w:val="-2"/>
          <w:lang w:val="en-US" w:eastAsia="zh-CN"/>
        </w:rPr>
        <w:t>5</w:t>
      </w:r>
      <w:r>
        <w:rPr>
          <w:color w:val="auto"/>
          <w:spacing w:val="-13"/>
        </w:rPr>
        <w:t>亿</w:t>
      </w:r>
      <w:r>
        <w:rPr>
          <w:color w:val="303030"/>
          <w:spacing w:val="-13"/>
        </w:rPr>
        <w:t>元的单</w:t>
      </w:r>
      <w:r>
        <w:rPr>
          <w:color w:val="303030"/>
          <w:spacing w:val="-9"/>
        </w:rPr>
        <w:t>位允许申报两个项目参评，但须提供上一年度财务审计报告复印件并加盖企业公</w:t>
      </w:r>
      <w:r>
        <w:rPr>
          <w:color w:val="303030"/>
        </w:rPr>
        <w:t>章。</w:t>
      </w:r>
    </w:p>
    <w:p w14:paraId="46C4B018">
      <w:pPr>
        <w:pStyle w:val="2"/>
        <w:spacing w:before="75"/>
      </w:pPr>
      <w:r>
        <w:rPr>
          <w:color w:val="303030"/>
        </w:rPr>
        <w:t>三、申报办法</w:t>
      </w:r>
    </w:p>
    <w:p w14:paraId="5F7E3459">
      <w:pPr>
        <w:pStyle w:val="3"/>
        <w:spacing w:before="91"/>
        <w:jc w:val="both"/>
        <w:rPr>
          <w:color w:val="303030"/>
          <w:sz w:val="24"/>
          <w:szCs w:val="24"/>
        </w:rPr>
        <w:sectPr>
          <w:footerReference r:id="rId5" w:type="default"/>
          <w:type w:val="continuous"/>
          <w:pgSz w:w="11910" w:h="16840"/>
          <w:pgMar w:top="1340" w:right="1560" w:bottom="1380" w:left="1680" w:header="720" w:footer="1200" w:gutter="0"/>
          <w:pgNumType w:start="1"/>
          <w:cols w:space="720" w:num="1"/>
        </w:sectPr>
      </w:pPr>
      <w:r>
        <w:rPr>
          <w:color w:val="303030"/>
          <w:sz w:val="24"/>
          <w:szCs w:val="24"/>
        </w:rPr>
        <w:t>第九条、参评单位请填写</w:t>
      </w:r>
      <w:r>
        <w:rPr>
          <w:color w:val="303030"/>
          <w:sz w:val="24"/>
          <w:szCs w:val="24"/>
        </w:rPr>
        <w:fldChar w:fldCharType="begin"/>
      </w:r>
      <w:r>
        <w:rPr>
          <w:color w:val="303030"/>
          <w:sz w:val="24"/>
          <w:szCs w:val="24"/>
        </w:rPr>
        <w:instrText xml:space="preserve"> HYPERLINK "http://www.chsla.org.cn/xshd/2010511.doc" \h </w:instrText>
      </w:r>
      <w:r>
        <w:rPr>
          <w:color w:val="303030"/>
          <w:sz w:val="24"/>
          <w:szCs w:val="24"/>
        </w:rPr>
        <w:fldChar w:fldCharType="separate"/>
      </w:r>
      <w:r>
        <w:rPr>
          <w:color w:val="303030"/>
          <w:sz w:val="24"/>
          <w:szCs w:val="24"/>
        </w:rPr>
        <w:t>《安徽省风景园林学会优秀园林工程奖申报表》</w:t>
      </w:r>
      <w:r>
        <w:rPr>
          <w:color w:val="303030"/>
          <w:sz w:val="24"/>
          <w:szCs w:val="24"/>
        </w:rPr>
        <w:fldChar w:fldCharType="end"/>
      </w:r>
      <w:r>
        <w:rPr>
          <w:color w:val="303030"/>
          <w:sz w:val="24"/>
          <w:szCs w:val="24"/>
        </w:rPr>
        <w:t>(以下简称申报表)，申报表的电子版可到学会网站（</w:t>
      </w:r>
      <w:r>
        <w:rPr>
          <w:color w:val="303030"/>
          <w:sz w:val="24"/>
          <w:szCs w:val="24"/>
        </w:rPr>
        <w:fldChar w:fldCharType="begin"/>
      </w:r>
      <w:r>
        <w:rPr>
          <w:color w:val="303030"/>
          <w:sz w:val="24"/>
          <w:szCs w:val="24"/>
        </w:rPr>
        <w:instrText xml:space="preserve"> HYPERLINK "http://www.ahyl.top/" \h </w:instrText>
      </w:r>
      <w:r>
        <w:rPr>
          <w:color w:val="303030"/>
          <w:sz w:val="24"/>
          <w:szCs w:val="24"/>
        </w:rPr>
        <w:fldChar w:fldCharType="separate"/>
      </w:r>
      <w:r>
        <w:rPr>
          <w:color w:val="303030"/>
          <w:sz w:val="24"/>
          <w:szCs w:val="24"/>
        </w:rPr>
        <w:t>http://www.ah</w:t>
      </w:r>
      <w:r>
        <w:rPr>
          <w:rFonts w:hint="eastAsia"/>
          <w:color w:val="303030"/>
          <w:sz w:val="24"/>
          <w:szCs w:val="24"/>
          <w:lang w:val="en-US" w:eastAsia="zh-CN"/>
        </w:rPr>
        <w:t>sla</w:t>
      </w:r>
      <w:r>
        <w:rPr>
          <w:color w:val="303030"/>
          <w:sz w:val="24"/>
          <w:szCs w:val="24"/>
        </w:rPr>
        <w:t>.</w:t>
      </w:r>
      <w:r>
        <w:rPr>
          <w:rFonts w:hint="eastAsia"/>
          <w:color w:val="303030"/>
          <w:sz w:val="24"/>
          <w:szCs w:val="24"/>
          <w:lang w:val="en-US" w:eastAsia="zh-CN"/>
        </w:rPr>
        <w:t>cn</w:t>
      </w:r>
      <w:r>
        <w:rPr>
          <w:color w:val="303030"/>
          <w:sz w:val="24"/>
          <w:szCs w:val="24"/>
        </w:rPr>
        <w:t>/</w:t>
      </w:r>
      <w:r>
        <w:rPr>
          <w:color w:val="303030"/>
          <w:sz w:val="24"/>
          <w:szCs w:val="24"/>
        </w:rPr>
        <w:fldChar w:fldCharType="end"/>
      </w:r>
      <w:r>
        <w:rPr>
          <w:color w:val="303030"/>
          <w:sz w:val="24"/>
          <w:szCs w:val="24"/>
        </w:rPr>
        <w:t>）下载，用 A4 纸正反面打印。</w:t>
      </w:r>
    </w:p>
    <w:p w14:paraId="6F8B3377">
      <w:pPr>
        <w:pStyle w:val="3"/>
        <w:spacing w:before="91"/>
        <w:ind w:left="0" w:leftChars="0" w:firstLine="0" w:firstLineChars="0"/>
        <w:jc w:val="both"/>
        <w:rPr>
          <w:color w:val="303030"/>
          <w:sz w:val="24"/>
          <w:szCs w:val="24"/>
        </w:rPr>
      </w:pPr>
    </w:p>
    <w:p w14:paraId="2D286E88">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91" w:line="340" w:lineRule="exact"/>
        <w:ind w:left="119"/>
        <w:jc w:val="both"/>
        <w:textAlignment w:val="auto"/>
        <w:rPr>
          <w:color w:val="303030"/>
          <w:sz w:val="24"/>
          <w:szCs w:val="24"/>
        </w:rPr>
      </w:pPr>
      <w:r>
        <w:rPr>
          <w:color w:val="303030"/>
          <w:sz w:val="24"/>
          <w:szCs w:val="24"/>
        </w:rPr>
        <w:t>申报单位必须按填写说明逐页逐项填写，如有漏填，则视为无效。</w:t>
      </w:r>
    </w:p>
    <w:p w14:paraId="582489E3">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91" w:line="340" w:lineRule="exact"/>
        <w:ind w:right="0" w:rightChars="0" w:firstLine="241" w:firstLineChars="100"/>
        <w:jc w:val="both"/>
        <w:textAlignment w:val="auto"/>
        <w:rPr>
          <w:b/>
        </w:rPr>
      </w:pPr>
      <w:r>
        <w:rPr>
          <w:b/>
          <w:color w:val="303030"/>
        </w:rPr>
        <w:t>四、申报材料要求</w:t>
      </w:r>
    </w:p>
    <w:p w14:paraId="11AEBDFD">
      <w:pPr>
        <w:pStyle w:val="3"/>
        <w:keepNext w:val="0"/>
        <w:keepLines w:val="0"/>
        <w:pageBreakBefore w:val="0"/>
        <w:widowControl w:val="0"/>
        <w:kinsoku/>
        <w:wordWrap/>
        <w:overflowPunct/>
        <w:topLinePunct w:val="0"/>
        <w:autoSpaceDE w:val="0"/>
        <w:autoSpaceDN w:val="0"/>
        <w:bidi w:val="0"/>
        <w:adjustRightInd/>
        <w:snapToGrid/>
        <w:spacing w:before="0" w:line="340" w:lineRule="exact"/>
        <w:ind w:left="119"/>
        <w:jc w:val="both"/>
        <w:textAlignment w:val="auto"/>
        <w:rPr>
          <w:rFonts w:ascii="宋体" w:hAnsi="宋体" w:eastAsia="宋体" w:cs="宋体"/>
          <w:color w:val="303030"/>
          <w:sz w:val="24"/>
          <w:szCs w:val="22"/>
          <w:lang w:val="zh-CN" w:eastAsia="zh-CN" w:bidi="zh-CN"/>
        </w:rPr>
      </w:pPr>
      <w:r>
        <w:rPr>
          <w:rFonts w:ascii="宋体" w:hAnsi="宋体" w:eastAsia="宋体" w:cs="宋体"/>
          <w:color w:val="303030"/>
          <w:sz w:val="24"/>
          <w:szCs w:val="22"/>
          <w:lang w:val="zh-CN" w:eastAsia="zh-CN" w:bidi="zh-CN"/>
        </w:rPr>
        <w:t>第十一条、申报材料包括：</w:t>
      </w:r>
    </w:p>
    <w:p w14:paraId="0516A9D0">
      <w:pPr>
        <w:pStyle w:val="7"/>
        <w:numPr>
          <w:ilvl w:val="0"/>
          <w:numId w:val="2"/>
        </w:numPr>
        <w:tabs>
          <w:tab w:val="left" w:pos="721"/>
        </w:tabs>
        <w:spacing w:before="91" w:after="0" w:line="312" w:lineRule="auto"/>
        <w:ind w:left="120" w:right="240" w:firstLine="0"/>
        <w:jc w:val="both"/>
        <w:rPr>
          <w:sz w:val="24"/>
        </w:rPr>
      </w:pPr>
      <w:r>
        <w:rPr>
          <w:color w:val="303030"/>
          <w:sz w:val="24"/>
        </w:rPr>
        <w:t>《安徽省风景园林学会优秀园林工程奖申报表》一式两份（</w:t>
      </w:r>
      <w:r>
        <w:rPr>
          <w:color w:val="303030"/>
          <w:spacing w:val="-3"/>
          <w:sz w:val="24"/>
        </w:rPr>
        <w:t>与其它资料分</w:t>
      </w:r>
      <w:r>
        <w:rPr>
          <w:color w:val="303030"/>
          <w:sz w:val="24"/>
        </w:rPr>
        <w:t>开装订）；</w:t>
      </w:r>
    </w:p>
    <w:p w14:paraId="1AD4486F">
      <w:pPr>
        <w:pStyle w:val="7"/>
        <w:numPr>
          <w:ilvl w:val="0"/>
          <w:numId w:val="2"/>
        </w:numPr>
        <w:tabs>
          <w:tab w:val="left" w:pos="721"/>
        </w:tabs>
        <w:spacing w:before="2" w:after="0" w:line="240" w:lineRule="auto"/>
        <w:ind w:left="721" w:right="0" w:hanging="601"/>
        <w:jc w:val="both"/>
        <w:rPr>
          <w:sz w:val="24"/>
        </w:rPr>
      </w:pPr>
      <w:r>
        <w:rPr>
          <w:color w:val="303030"/>
          <w:sz w:val="24"/>
        </w:rPr>
        <w:t>申报材料总目录（并注明各种资料的份数）；</w:t>
      </w:r>
    </w:p>
    <w:p w14:paraId="39816DFD">
      <w:pPr>
        <w:pStyle w:val="7"/>
        <w:numPr>
          <w:ilvl w:val="0"/>
          <w:numId w:val="2"/>
        </w:numPr>
        <w:tabs>
          <w:tab w:val="left" w:pos="721"/>
        </w:tabs>
        <w:spacing w:before="91" w:after="0" w:line="240" w:lineRule="auto"/>
        <w:ind w:left="721" w:right="0" w:hanging="601"/>
        <w:jc w:val="both"/>
        <w:rPr>
          <w:sz w:val="24"/>
        </w:rPr>
      </w:pPr>
      <w:r>
        <w:rPr>
          <w:color w:val="303030"/>
          <w:spacing w:val="-3"/>
          <w:sz w:val="24"/>
        </w:rPr>
        <w:t xml:space="preserve">施工合同书复印件、园林绿化工程竣工验收备案表复印件各 </w:t>
      </w:r>
      <w:r>
        <w:rPr>
          <w:color w:val="303030"/>
          <w:sz w:val="24"/>
        </w:rPr>
        <w:t>1</w:t>
      </w:r>
      <w:r>
        <w:rPr>
          <w:color w:val="303030"/>
          <w:spacing w:val="-20"/>
          <w:sz w:val="24"/>
        </w:rPr>
        <w:t xml:space="preserve"> 份；</w:t>
      </w:r>
    </w:p>
    <w:p w14:paraId="6F605444">
      <w:pPr>
        <w:pStyle w:val="7"/>
        <w:numPr>
          <w:ilvl w:val="0"/>
          <w:numId w:val="2"/>
        </w:numPr>
        <w:tabs>
          <w:tab w:val="left" w:pos="721"/>
        </w:tabs>
        <w:spacing w:before="93" w:after="0" w:line="312" w:lineRule="auto"/>
        <w:ind w:left="120" w:right="115" w:firstLine="0"/>
        <w:jc w:val="both"/>
        <w:rPr>
          <w:sz w:val="24"/>
        </w:rPr>
      </w:pPr>
      <w:r>
        <w:rPr>
          <w:color w:val="303030"/>
          <w:spacing w:val="-6"/>
          <w:sz w:val="24"/>
        </w:rPr>
        <w:t>工程平面图、种植图和竣工图</w:t>
      </w:r>
      <w:r>
        <w:rPr>
          <w:color w:val="303030"/>
          <w:sz w:val="24"/>
        </w:rPr>
        <w:t>（</w:t>
      </w:r>
      <w:r>
        <w:rPr>
          <w:color w:val="303030"/>
          <w:spacing w:val="-4"/>
          <w:sz w:val="24"/>
        </w:rPr>
        <w:t xml:space="preserve">如图纸太多，可提供重要节点部位的图纸 </w:t>
      </w:r>
      <w:r>
        <w:rPr>
          <w:color w:val="303030"/>
          <w:spacing w:val="-17"/>
          <w:sz w:val="24"/>
        </w:rPr>
        <w:t>）</w:t>
      </w:r>
      <w:r>
        <w:rPr>
          <w:color w:val="303030"/>
          <w:sz w:val="24"/>
        </w:rPr>
        <w:t>各一张；</w:t>
      </w:r>
    </w:p>
    <w:p w14:paraId="2600E379">
      <w:pPr>
        <w:pStyle w:val="7"/>
        <w:numPr>
          <w:ilvl w:val="0"/>
          <w:numId w:val="2"/>
        </w:numPr>
        <w:tabs>
          <w:tab w:val="left" w:pos="721"/>
        </w:tabs>
        <w:spacing w:before="77" w:after="0" w:line="240" w:lineRule="auto"/>
        <w:ind w:left="721" w:right="0" w:hanging="601"/>
        <w:jc w:val="both"/>
        <w:rPr>
          <w:sz w:val="24"/>
        </w:rPr>
      </w:pPr>
      <w:r>
        <w:rPr>
          <w:color w:val="303030"/>
          <w:sz w:val="24"/>
        </w:rPr>
        <w:t>工程概况介绍，重点说明施工方法、施工技术、施工重点和难点；</w:t>
      </w:r>
    </w:p>
    <w:p w14:paraId="120A1547">
      <w:pPr>
        <w:pStyle w:val="7"/>
        <w:numPr>
          <w:ilvl w:val="0"/>
          <w:numId w:val="2"/>
        </w:numPr>
        <w:tabs>
          <w:tab w:val="left" w:pos="721"/>
        </w:tabs>
        <w:spacing w:before="167" w:after="0" w:line="240" w:lineRule="auto"/>
        <w:ind w:left="721" w:right="0" w:hanging="601"/>
        <w:jc w:val="both"/>
        <w:rPr>
          <w:sz w:val="24"/>
        </w:rPr>
      </w:pPr>
      <w:r>
        <w:rPr>
          <w:color w:val="303030"/>
          <w:sz w:val="24"/>
        </w:rPr>
        <w:t>采用新技术、新工艺、新材料的情况，以图文结合形式详细说明；</w:t>
      </w:r>
    </w:p>
    <w:p w14:paraId="39FB23EA">
      <w:pPr>
        <w:pStyle w:val="7"/>
        <w:numPr>
          <w:ilvl w:val="0"/>
          <w:numId w:val="2"/>
        </w:numPr>
        <w:tabs>
          <w:tab w:val="left" w:pos="721"/>
        </w:tabs>
        <w:spacing w:before="91" w:after="0" w:line="312" w:lineRule="auto"/>
        <w:ind w:left="120" w:right="240" w:firstLine="0"/>
        <w:jc w:val="both"/>
        <w:rPr>
          <w:sz w:val="24"/>
        </w:rPr>
      </w:pPr>
      <w:r>
        <w:rPr>
          <w:color w:val="303030"/>
          <w:sz w:val="24"/>
        </w:rPr>
        <w:t>反映工程概貌和工程特点（</w:t>
      </w:r>
      <w:r>
        <w:rPr>
          <w:color w:val="303030"/>
          <w:spacing w:val="-1"/>
          <w:sz w:val="24"/>
        </w:rPr>
        <w:t>如工程重点部位、植物景观、园林小品、水景</w:t>
      </w:r>
      <w:r>
        <w:rPr>
          <w:color w:val="303030"/>
          <w:sz w:val="24"/>
        </w:rPr>
        <w:t>等）的彩色照片（</w:t>
      </w:r>
      <w:r>
        <w:rPr>
          <w:color w:val="303030"/>
          <w:spacing w:val="-19"/>
          <w:sz w:val="24"/>
        </w:rPr>
        <w:t xml:space="preserve">规格 </w:t>
      </w:r>
      <w:r>
        <w:rPr>
          <w:color w:val="303030"/>
          <w:sz w:val="24"/>
        </w:rPr>
        <w:t>4.5X6</w:t>
      </w:r>
      <w:r>
        <w:rPr>
          <w:color w:val="303030"/>
          <w:spacing w:val="-18"/>
          <w:sz w:val="24"/>
        </w:rPr>
        <w:t xml:space="preserve"> 吋、</w:t>
      </w:r>
      <w:r>
        <w:rPr>
          <w:color w:val="303030"/>
          <w:sz w:val="24"/>
        </w:rPr>
        <w:t>1000</w:t>
      </w:r>
      <w:r>
        <w:rPr>
          <w:color w:val="303030"/>
          <w:spacing w:val="-10"/>
          <w:sz w:val="24"/>
        </w:rPr>
        <w:t xml:space="preserve"> 万像素以上</w:t>
      </w:r>
      <w:r>
        <w:rPr>
          <w:color w:val="303030"/>
          <w:sz w:val="24"/>
        </w:rPr>
        <w:t>）20</w:t>
      </w:r>
      <w:r>
        <w:rPr>
          <w:color w:val="303030"/>
          <w:spacing w:val="-28"/>
          <w:sz w:val="24"/>
        </w:rPr>
        <w:t xml:space="preserve"> 张</w:t>
      </w:r>
      <w:r>
        <w:rPr>
          <w:color w:val="303030"/>
          <w:sz w:val="24"/>
        </w:rPr>
        <w:t>（</w:t>
      </w:r>
      <w:r>
        <w:rPr>
          <w:color w:val="303030"/>
          <w:spacing w:val="-2"/>
          <w:sz w:val="24"/>
        </w:rPr>
        <w:t xml:space="preserve">在照片背面编号， </w:t>
      </w:r>
      <w:r>
        <w:rPr>
          <w:color w:val="303030"/>
          <w:sz w:val="24"/>
        </w:rPr>
        <w:t>并附简要文字说明）。</w:t>
      </w:r>
    </w:p>
    <w:p w14:paraId="1C072961">
      <w:pPr>
        <w:pStyle w:val="3"/>
        <w:spacing w:before="75" w:line="312" w:lineRule="auto"/>
        <w:ind w:right="237"/>
        <w:jc w:val="both"/>
      </w:pPr>
      <w:r>
        <w:rPr>
          <w:color w:val="303030"/>
          <w:spacing w:val="-11"/>
        </w:rPr>
        <w:t>第十二条、申报单位必须按《安徽省风景园林学会优秀园林工程奖申报表》表内</w:t>
      </w:r>
      <w:r>
        <w:rPr>
          <w:color w:val="303030"/>
          <w:spacing w:val="-9"/>
        </w:rPr>
        <w:t>栏目要求逐栏填写，加盖公章栏须签署评价意见加盖相关单位公章，否则视为无</w:t>
      </w:r>
      <w:r>
        <w:rPr>
          <w:color w:val="303030"/>
          <w:spacing w:val="-11"/>
        </w:rPr>
        <w:t>效。申报材料必须准确、真实，涵盖所申报工程的全部内容。数据和文字必须与</w:t>
      </w:r>
      <w:r>
        <w:rPr>
          <w:color w:val="303030"/>
        </w:rPr>
        <w:t>工程实际一致。提供的文件、证明和印章等必须清晰，容易辨认。</w:t>
      </w:r>
    </w:p>
    <w:p w14:paraId="146D9A99">
      <w:pPr>
        <w:pStyle w:val="3"/>
        <w:spacing w:before="76" w:line="312" w:lineRule="auto"/>
        <w:ind w:right="240"/>
        <w:jc w:val="both"/>
      </w:pPr>
      <w:r>
        <w:rPr>
          <w:color w:val="303030"/>
          <w:spacing w:val="-3"/>
        </w:rPr>
        <w:t xml:space="preserve">第十三条、以上申报材料的打印稿，统一为 </w:t>
      </w:r>
      <w:r>
        <w:rPr>
          <w:color w:val="303030"/>
        </w:rPr>
        <w:t>A4</w:t>
      </w:r>
      <w:r>
        <w:rPr>
          <w:color w:val="303030"/>
          <w:spacing w:val="-9"/>
        </w:rPr>
        <w:t xml:space="preserve"> 规格，提交时按顺序装订成册。</w:t>
      </w:r>
      <w:r>
        <w:rPr>
          <w:color w:val="303030"/>
        </w:rPr>
        <w:t>资料册</w:t>
      </w:r>
      <w:r>
        <w:rPr>
          <w:rFonts w:hint="eastAsia"/>
          <w:color w:val="303030"/>
          <w:lang w:eastAsia="zh-CN"/>
        </w:rPr>
        <w:t>及</w:t>
      </w:r>
      <w:r>
        <w:rPr>
          <w:rFonts w:hint="eastAsia"/>
          <w:color w:val="303030"/>
          <w:lang w:val="en-US" w:eastAsia="zh-CN"/>
        </w:rPr>
        <w:t>U盘</w:t>
      </w:r>
      <w:r>
        <w:rPr>
          <w:color w:val="303030"/>
        </w:rPr>
        <w:t>按当年评优通知要求时间提交至评选办公室。</w:t>
      </w:r>
    </w:p>
    <w:p w14:paraId="0A7578B5">
      <w:pPr>
        <w:pStyle w:val="2"/>
        <w:spacing w:before="77"/>
      </w:pPr>
      <w:r>
        <w:rPr>
          <w:color w:val="303030"/>
        </w:rPr>
        <w:t>五、工程评审</w:t>
      </w:r>
    </w:p>
    <w:p w14:paraId="24A8ADF3">
      <w:pPr>
        <w:pStyle w:val="3"/>
        <w:spacing w:line="312" w:lineRule="auto"/>
        <w:ind w:right="237"/>
        <w:jc w:val="both"/>
      </w:pPr>
      <w:r>
        <w:rPr>
          <w:color w:val="303030"/>
          <w:spacing w:val="-11"/>
        </w:rPr>
        <w:t>第十四条、“优秀园林工程”奖的评审工作由评审专家组进行。评审专家组由安</w:t>
      </w:r>
      <w:r>
        <w:rPr>
          <w:color w:val="303030"/>
        </w:rPr>
        <w:t>徽省风景园林学会聘请熟悉园林工程业务的专家组成。</w:t>
      </w:r>
    </w:p>
    <w:p w14:paraId="6BD5BFA2">
      <w:pPr>
        <w:pStyle w:val="3"/>
        <w:spacing w:before="0" w:line="312" w:lineRule="auto"/>
        <w:ind w:right="237"/>
        <w:jc w:val="both"/>
      </w:pPr>
      <w:r>
        <w:rPr>
          <w:color w:val="303030"/>
          <w:spacing w:val="-10"/>
        </w:rPr>
        <w:t>第十五条、评审工作坚持严格、认真、公正、公平的原则。评审会议必须由评审</w:t>
      </w:r>
      <w:r>
        <w:rPr>
          <w:color w:val="303030"/>
        </w:rPr>
        <w:t>专家本人参加，不得委派代表出席。</w:t>
      </w:r>
    </w:p>
    <w:p w14:paraId="0BFF81F2">
      <w:pPr>
        <w:pStyle w:val="3"/>
        <w:spacing w:before="0" w:line="312" w:lineRule="auto"/>
        <w:ind w:right="237"/>
        <w:jc w:val="both"/>
      </w:pPr>
      <w:r>
        <w:rPr>
          <w:color w:val="303030"/>
          <w:spacing w:val="-10"/>
        </w:rPr>
        <w:t>第十六条、评审专家组根据被推荐工程的申报材料和工程复查小组的汇报，通过</w:t>
      </w:r>
      <w:r>
        <w:rPr>
          <w:color w:val="303030"/>
        </w:rPr>
        <w:t>审查、质询、讨论、评议，最终以无记名投票方式确定获奖工程。</w:t>
      </w:r>
    </w:p>
    <w:p w14:paraId="2976D005">
      <w:pPr>
        <w:pStyle w:val="3"/>
        <w:spacing w:before="76" w:line="312" w:lineRule="auto"/>
        <w:ind w:right="237"/>
        <w:jc w:val="both"/>
      </w:pPr>
      <w:r>
        <w:rPr>
          <w:color w:val="303030"/>
          <w:spacing w:val="-10"/>
        </w:rPr>
        <w:t>第十七条、评审结果在安徽省风景园林学会网站公示一周后，由安徽省风景园林</w:t>
      </w:r>
      <w:r>
        <w:rPr>
          <w:color w:val="303030"/>
        </w:rPr>
        <w:t>学会正式发文生效。</w:t>
      </w:r>
    </w:p>
    <w:p w14:paraId="6556C69B">
      <w:pPr>
        <w:pStyle w:val="2"/>
        <w:spacing w:before="77"/>
        <w:rPr>
          <w:color w:val="303030"/>
        </w:rPr>
      </w:pPr>
      <w:r>
        <w:rPr>
          <w:color w:val="303030"/>
        </w:rPr>
        <w:t>六、奖 励</w:t>
      </w:r>
    </w:p>
    <w:p w14:paraId="2223D4F7">
      <w:pPr>
        <w:pStyle w:val="3"/>
        <w:spacing w:line="312" w:lineRule="auto"/>
        <w:ind w:right="237"/>
        <w:jc w:val="both"/>
        <w:rPr>
          <w:color w:val="303030"/>
        </w:rPr>
      </w:pPr>
      <w:r>
        <w:rPr>
          <w:color w:val="303030"/>
          <w:spacing w:val="-11"/>
        </w:rPr>
        <w:t>第十</w:t>
      </w:r>
      <w:r>
        <w:rPr>
          <w:rFonts w:hint="eastAsia"/>
          <w:color w:val="303030"/>
          <w:spacing w:val="-11"/>
          <w:lang w:val="en-US" w:eastAsia="zh-CN"/>
        </w:rPr>
        <w:t>八</w:t>
      </w:r>
      <w:r>
        <w:rPr>
          <w:color w:val="303030"/>
          <w:spacing w:val="-11"/>
        </w:rPr>
        <w:t>条、主持“优秀园林工程”奖获奖工程的项目经理有权参加安徽省风景园</w:t>
      </w:r>
      <w:r>
        <w:rPr>
          <w:color w:val="303030"/>
        </w:rPr>
        <w:t>林学会“优秀项目经理”的评选活动，并可获此殊荣。</w:t>
      </w:r>
    </w:p>
    <w:p w14:paraId="7066BD8B">
      <w:pPr>
        <w:pStyle w:val="3"/>
        <w:spacing w:before="52"/>
        <w:jc w:val="both"/>
      </w:pPr>
      <w:r>
        <w:rPr>
          <w:color w:val="303030"/>
        </w:rPr>
        <w:t>第</w:t>
      </w:r>
      <w:r>
        <w:rPr>
          <w:rFonts w:hint="eastAsia"/>
          <w:color w:val="303030"/>
          <w:lang w:val="en-US" w:eastAsia="zh-CN"/>
        </w:rPr>
        <w:t>十九</w:t>
      </w:r>
      <w:r>
        <w:rPr>
          <w:color w:val="303030"/>
        </w:rPr>
        <w:t>条、安徽省风景园林学会召开颁奖大会，向荣获“优秀园林工程”奖的承建单位颁发奖牌和获奖证书；获奖工程、获奖单位统一在安徽省风景园林学会网上公布。</w:t>
      </w:r>
    </w:p>
    <w:p w14:paraId="1B96E357">
      <w:pPr>
        <w:pStyle w:val="2"/>
        <w:spacing w:before="76"/>
      </w:pPr>
      <w:r>
        <w:rPr>
          <w:color w:val="303030"/>
        </w:rPr>
        <w:t>七、纪 律</w:t>
      </w:r>
    </w:p>
    <w:p w14:paraId="371D2689">
      <w:pPr>
        <w:pStyle w:val="3"/>
        <w:spacing w:before="168"/>
        <w:jc w:val="both"/>
      </w:pPr>
      <w:r>
        <w:rPr>
          <w:color w:val="303030"/>
        </w:rPr>
        <w:t>第二十条、申报“优秀园林绿化工程”奖的单位不得弄虚作假，不得请客送礼。</w:t>
      </w:r>
    </w:p>
    <w:p w14:paraId="24C60E66">
      <w:pPr>
        <w:pStyle w:val="3"/>
        <w:spacing w:before="168" w:line="312" w:lineRule="auto"/>
        <w:ind w:right="115"/>
        <w:jc w:val="both"/>
      </w:pPr>
      <w:r>
        <w:rPr>
          <w:color w:val="303030"/>
          <w:spacing w:val="-16"/>
        </w:rPr>
        <w:t>第二十</w:t>
      </w:r>
      <w:r>
        <w:rPr>
          <w:rFonts w:hint="eastAsia"/>
          <w:color w:val="303030"/>
          <w:spacing w:val="-16"/>
          <w:lang w:val="en-US" w:eastAsia="zh-CN"/>
        </w:rPr>
        <w:t>一</w:t>
      </w:r>
      <w:r>
        <w:rPr>
          <w:color w:val="303030"/>
          <w:spacing w:val="-16"/>
        </w:rPr>
        <w:t>条、任何单位和个人不得复制“优秀园林工程”奖奖牌和伪造获奖证书。</w:t>
      </w:r>
      <w:r>
        <w:rPr>
          <w:color w:val="303030"/>
        </w:rPr>
        <w:t>违者，将追究法律责任。</w:t>
      </w:r>
    </w:p>
    <w:p w14:paraId="60B0D86B">
      <w:pPr>
        <w:pStyle w:val="2"/>
        <w:spacing w:line="307" w:lineRule="exact"/>
      </w:pPr>
      <w:r>
        <w:rPr>
          <w:color w:val="303030"/>
        </w:rPr>
        <w:t>八、附 则</w:t>
      </w:r>
    </w:p>
    <w:p w14:paraId="3B594905">
      <w:pPr>
        <w:pStyle w:val="3"/>
        <w:spacing w:line="312" w:lineRule="auto"/>
        <w:ind w:right="237"/>
        <w:jc w:val="both"/>
      </w:pPr>
      <w:r>
        <w:rPr>
          <w:color w:val="303030"/>
          <w:spacing w:val="-9"/>
        </w:rPr>
        <w:t>第二十</w:t>
      </w:r>
      <w:r>
        <w:rPr>
          <w:rFonts w:hint="eastAsia"/>
          <w:color w:val="303030"/>
          <w:spacing w:val="-9"/>
          <w:lang w:val="en-US" w:eastAsia="zh-CN"/>
        </w:rPr>
        <w:t>二</w:t>
      </w:r>
      <w:r>
        <w:rPr>
          <w:color w:val="303030"/>
          <w:spacing w:val="-9"/>
        </w:rPr>
        <w:t>条、对于已经获得“优秀园林工程”奖称号的工程，若发现工程质量存</w:t>
      </w:r>
      <w:r>
        <w:rPr>
          <w:color w:val="303030"/>
          <w:spacing w:val="-10"/>
        </w:rPr>
        <w:t>在问题和隐患，安徽省风景园林学会要组织专家对工程进行鉴定，并有权作出取</w:t>
      </w:r>
      <w:r>
        <w:rPr>
          <w:color w:val="303030"/>
        </w:rPr>
        <w:t>消该工程"优秀园林工程"奖暨“园林杯”称号的决定。</w:t>
      </w:r>
    </w:p>
    <w:p w14:paraId="29F4B5CD">
      <w:pPr>
        <w:pStyle w:val="3"/>
        <w:spacing w:before="0" w:line="294" w:lineRule="exact"/>
        <w:jc w:val="both"/>
        <w:rPr>
          <w:color w:val="303030"/>
        </w:rPr>
      </w:pPr>
      <w:r>
        <w:pict>
          <v:group id="_x0000_s1030" o:spid="_x0000_s1030" o:spt="203" style="position:absolute;left:0pt;margin-left:656.85pt;margin-top:43.25pt;height:113.4pt;width:112.2pt;mso-position-horizontal-relative:page;z-index:-251656192;mso-width-relative:page;mso-height-relative:page;" coordorigin="7862,242" coordsize="2244,2268">
            <o:lock v:ext="edit"/>
            <v:shape id="_x0000_s1031" o:spid="_x0000_s1031" o:spt="75" type="#_x0000_t75" style="position:absolute;left:7862;top:242;height:2268;width:2180;" filled="f" stroked="f" coordsize="21600,21600">
              <v:path/>
              <v:fill on="f" focussize="0,0"/>
              <v:stroke on="f"/>
              <v:imagedata r:id="rId7" o:title=""/>
              <o:lock v:ext="edit" aspectratio="t"/>
            </v:shape>
            <v:shape id="_x0000_s1032" o:spid="_x0000_s1032" o:spt="202" type="#_x0000_t202" style="position:absolute;left:7862;top:242;height:2268;width:2244;" filled="f" stroked="f" coordsize="21600,21600">
              <v:path/>
              <v:fill on="f" focussize="0,0"/>
              <v:stroke on="f" joinstyle="miter"/>
              <v:imagedata o:title=""/>
              <o:lock v:ext="edit"/>
              <v:textbox inset="0mm,0mm,0mm,0mm">
                <w:txbxContent>
                  <w:p w14:paraId="0B60A696">
                    <w:pPr>
                      <w:spacing w:before="0" w:line="240" w:lineRule="auto"/>
                      <w:rPr>
                        <w:sz w:val="24"/>
                      </w:rPr>
                    </w:pPr>
                  </w:p>
                  <w:p w14:paraId="1FD8953E">
                    <w:pPr>
                      <w:spacing w:before="0" w:line="240" w:lineRule="auto"/>
                      <w:rPr>
                        <w:sz w:val="24"/>
                      </w:rPr>
                    </w:pPr>
                  </w:p>
                  <w:p w14:paraId="742652BB">
                    <w:pPr>
                      <w:spacing w:before="5" w:line="240" w:lineRule="auto"/>
                      <w:rPr>
                        <w:sz w:val="29"/>
                      </w:rPr>
                    </w:pPr>
                  </w:p>
                  <w:p w14:paraId="4BAE9D68">
                    <w:pPr>
                      <w:spacing w:before="0" w:line="242" w:lineRule="auto"/>
                      <w:ind w:left="234" w:right="0" w:hanging="234" w:hangingChars="100"/>
                      <w:jc w:val="left"/>
                      <w:rPr>
                        <w:color w:val="303030"/>
                        <w:spacing w:val="-3"/>
                        <w:sz w:val="24"/>
                      </w:rPr>
                    </w:pPr>
                  </w:p>
                </w:txbxContent>
              </v:textbox>
            </v:shape>
          </v:group>
        </w:pict>
      </w:r>
      <w:r>
        <w:rPr>
          <w:color w:val="303030"/>
        </w:rPr>
        <w:t>第二十</w:t>
      </w:r>
      <w:r>
        <w:rPr>
          <w:rFonts w:hint="eastAsia"/>
          <w:color w:val="303030"/>
          <w:lang w:val="en-US" w:eastAsia="zh-CN"/>
        </w:rPr>
        <w:t>三</w:t>
      </w:r>
      <w:r>
        <w:rPr>
          <w:color w:val="303030"/>
        </w:rPr>
        <w:t>条、本办法由安徽省风景园林学会负责解释。</w:t>
      </w:r>
    </w:p>
    <w:p w14:paraId="20EADA6A">
      <w:pPr>
        <w:pStyle w:val="3"/>
        <w:spacing w:before="0" w:line="294" w:lineRule="exact"/>
        <w:rPr>
          <w:color w:val="303030"/>
        </w:rPr>
      </w:pPr>
    </w:p>
    <w:p w14:paraId="1A90FEBA">
      <w:pPr>
        <w:pStyle w:val="3"/>
        <w:spacing w:before="0" w:line="294" w:lineRule="exact"/>
        <w:rPr>
          <w:color w:val="303030"/>
        </w:rPr>
      </w:pPr>
    </w:p>
    <w:p w14:paraId="63F1D8B4">
      <w:pPr>
        <w:pStyle w:val="3"/>
        <w:spacing w:before="0" w:line="294" w:lineRule="exact"/>
        <w:rPr>
          <w:color w:val="303030"/>
        </w:rPr>
      </w:pPr>
    </w:p>
    <w:p w14:paraId="5C846356">
      <w:pPr>
        <w:pStyle w:val="3"/>
        <w:spacing w:before="0" w:line="294" w:lineRule="exact"/>
        <w:rPr>
          <w:color w:val="303030"/>
        </w:rPr>
      </w:pPr>
    </w:p>
    <w:p w14:paraId="2E1F8139">
      <w:pPr>
        <w:pStyle w:val="3"/>
        <w:spacing w:before="0" w:line="294" w:lineRule="exact"/>
        <w:rPr>
          <w:color w:val="303030"/>
        </w:rPr>
      </w:pPr>
    </w:p>
    <w:p w14:paraId="187A02E7">
      <w:pPr>
        <w:pStyle w:val="3"/>
        <w:spacing w:line="312" w:lineRule="auto"/>
        <w:ind w:right="237"/>
        <w:jc w:val="both"/>
        <w:rPr>
          <w:rFonts w:hint="eastAsia"/>
          <w:color w:val="303030"/>
          <w:spacing w:val="-9"/>
          <w:lang w:val="en-US" w:eastAsia="zh-CN"/>
        </w:rPr>
      </w:pPr>
      <w:r>
        <w:rPr>
          <w:rFonts w:hint="eastAsia"/>
          <w:color w:val="303030"/>
          <w:lang w:val="en-US" w:eastAsia="zh-CN"/>
        </w:rPr>
        <w:t xml:space="preserve">                                                  安徽省风景园林学会</w:t>
      </w:r>
    </w:p>
    <w:p w14:paraId="6EBAA952">
      <w:pPr>
        <w:pStyle w:val="3"/>
        <w:spacing w:line="312" w:lineRule="auto"/>
        <w:ind w:right="237"/>
        <w:jc w:val="both"/>
        <w:rPr>
          <w:rFonts w:hint="default"/>
          <w:color w:val="303030"/>
          <w:lang w:val="en-US"/>
        </w:rPr>
        <w:sectPr>
          <w:pgSz w:w="11910" w:h="16840"/>
          <w:pgMar w:top="1460" w:right="1560" w:bottom="1380" w:left="1680" w:header="0" w:footer="1200" w:gutter="0"/>
          <w:cols w:space="720" w:num="1"/>
        </w:sectPr>
      </w:pPr>
      <w:r>
        <w:rPr>
          <w:rFonts w:hint="eastAsia"/>
          <w:color w:val="303030"/>
          <w:spacing w:val="-9"/>
          <w:lang w:val="en-US" w:eastAsia="zh-CN"/>
        </w:rPr>
        <w:t xml:space="preserve">                                                </w:t>
      </w:r>
      <w:r>
        <w:rPr>
          <w:rFonts w:hint="eastAsia"/>
          <w:color w:val="303030"/>
          <w:lang w:val="en-US" w:eastAsia="zh-CN"/>
        </w:rPr>
        <w:t xml:space="preserve">       2024年11月21</w:t>
      </w:r>
      <w:bookmarkStart w:id="0" w:name="_GoBack"/>
      <w:bookmarkEnd w:id="0"/>
      <w:r>
        <w:rPr>
          <w:rFonts w:hint="eastAsia"/>
          <w:color w:val="303030"/>
          <w:lang w:val="en-US" w:eastAsia="zh-CN"/>
        </w:rPr>
        <w:t>日</w:t>
      </w:r>
    </w:p>
    <w:p w14:paraId="2B49AB02">
      <w:pPr>
        <w:pStyle w:val="3"/>
        <w:spacing w:line="312" w:lineRule="auto"/>
        <w:ind w:left="0" w:leftChars="0" w:right="237" w:firstLine="0" w:firstLineChars="0"/>
        <w:jc w:val="both"/>
        <w:rPr>
          <w:rFonts w:hint="default"/>
          <w:color w:val="303030"/>
          <w:lang w:val="en-US" w:eastAsia="zh-CN"/>
        </w:rPr>
      </w:pPr>
    </w:p>
    <w:sectPr>
      <w:pgSz w:w="11910" w:h="16840"/>
      <w:pgMar w:top="1460" w:right="1560" w:bottom="1380" w:left="1680" w:header="0" w:footer="120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D0210">
    <w:pPr>
      <w:pStyle w:val="3"/>
      <w:spacing w:before="0" w:line="14" w:lineRule="auto"/>
      <w:ind w:left="0"/>
      <w:rPr>
        <w:sz w:val="20"/>
      </w:rPr>
    </w:pPr>
    <w:r>
      <w:pict>
        <v:shape id="_x0000_s2049" o:spid="_x0000_s2049" o:spt="202" type="#_x0000_t202" style="position:absolute;left:0pt;margin-left:293.4pt;margin-top:770.9pt;height:12pt;width:8.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754F1679">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9D74D1"/>
    <w:multiLevelType w:val="singleLevel"/>
    <w:tmpl w:val="A69D74D1"/>
    <w:lvl w:ilvl="0" w:tentative="0">
      <w:start w:val="10"/>
      <w:numFmt w:val="chineseCounting"/>
      <w:suff w:val="nothing"/>
      <w:lvlText w:val="第%1条、"/>
      <w:lvlJc w:val="left"/>
      <w:rPr>
        <w:rFonts w:hint="eastAsia"/>
      </w:rPr>
    </w:lvl>
  </w:abstractNum>
  <w:abstractNum w:abstractNumId="1">
    <w:nsid w:val="0053208E"/>
    <w:multiLevelType w:val="multilevel"/>
    <w:tmpl w:val="0053208E"/>
    <w:lvl w:ilvl="0" w:tentative="0">
      <w:start w:val="1"/>
      <w:numFmt w:val="decimal"/>
      <w:lvlText w:val="（%1）"/>
      <w:lvlJc w:val="left"/>
      <w:pPr>
        <w:ind w:left="120" w:hanging="601"/>
        <w:jc w:val="left"/>
      </w:pPr>
      <w:rPr>
        <w:rFonts w:hint="default" w:ascii="宋体" w:hAnsi="宋体" w:eastAsia="宋体" w:cs="宋体"/>
        <w:color w:val="303030"/>
        <w:w w:val="100"/>
        <w:sz w:val="22"/>
        <w:szCs w:val="22"/>
        <w:lang w:val="zh-CN" w:eastAsia="zh-CN" w:bidi="zh-CN"/>
      </w:rPr>
    </w:lvl>
    <w:lvl w:ilvl="1" w:tentative="0">
      <w:start w:val="0"/>
      <w:numFmt w:val="bullet"/>
      <w:lvlText w:val="•"/>
      <w:lvlJc w:val="left"/>
      <w:pPr>
        <w:ind w:left="974" w:hanging="601"/>
      </w:pPr>
      <w:rPr>
        <w:rFonts w:hint="default"/>
        <w:lang w:val="zh-CN" w:eastAsia="zh-CN" w:bidi="zh-CN"/>
      </w:rPr>
    </w:lvl>
    <w:lvl w:ilvl="2" w:tentative="0">
      <w:start w:val="0"/>
      <w:numFmt w:val="bullet"/>
      <w:lvlText w:val="•"/>
      <w:lvlJc w:val="left"/>
      <w:pPr>
        <w:ind w:left="1829" w:hanging="601"/>
      </w:pPr>
      <w:rPr>
        <w:rFonts w:hint="default"/>
        <w:lang w:val="zh-CN" w:eastAsia="zh-CN" w:bidi="zh-CN"/>
      </w:rPr>
    </w:lvl>
    <w:lvl w:ilvl="3" w:tentative="0">
      <w:start w:val="0"/>
      <w:numFmt w:val="bullet"/>
      <w:lvlText w:val="•"/>
      <w:lvlJc w:val="left"/>
      <w:pPr>
        <w:ind w:left="2683" w:hanging="601"/>
      </w:pPr>
      <w:rPr>
        <w:rFonts w:hint="default"/>
        <w:lang w:val="zh-CN" w:eastAsia="zh-CN" w:bidi="zh-CN"/>
      </w:rPr>
    </w:lvl>
    <w:lvl w:ilvl="4" w:tentative="0">
      <w:start w:val="0"/>
      <w:numFmt w:val="bullet"/>
      <w:lvlText w:val="•"/>
      <w:lvlJc w:val="left"/>
      <w:pPr>
        <w:ind w:left="3538" w:hanging="601"/>
      </w:pPr>
      <w:rPr>
        <w:rFonts w:hint="default"/>
        <w:lang w:val="zh-CN" w:eastAsia="zh-CN" w:bidi="zh-CN"/>
      </w:rPr>
    </w:lvl>
    <w:lvl w:ilvl="5" w:tentative="0">
      <w:start w:val="0"/>
      <w:numFmt w:val="bullet"/>
      <w:lvlText w:val="•"/>
      <w:lvlJc w:val="left"/>
      <w:pPr>
        <w:ind w:left="4393" w:hanging="601"/>
      </w:pPr>
      <w:rPr>
        <w:rFonts w:hint="default"/>
        <w:lang w:val="zh-CN" w:eastAsia="zh-CN" w:bidi="zh-CN"/>
      </w:rPr>
    </w:lvl>
    <w:lvl w:ilvl="6" w:tentative="0">
      <w:start w:val="0"/>
      <w:numFmt w:val="bullet"/>
      <w:lvlText w:val="•"/>
      <w:lvlJc w:val="left"/>
      <w:pPr>
        <w:ind w:left="5247" w:hanging="601"/>
      </w:pPr>
      <w:rPr>
        <w:rFonts w:hint="default"/>
        <w:lang w:val="zh-CN" w:eastAsia="zh-CN" w:bidi="zh-CN"/>
      </w:rPr>
    </w:lvl>
    <w:lvl w:ilvl="7" w:tentative="0">
      <w:start w:val="0"/>
      <w:numFmt w:val="bullet"/>
      <w:lvlText w:val="•"/>
      <w:lvlJc w:val="left"/>
      <w:pPr>
        <w:ind w:left="6102" w:hanging="601"/>
      </w:pPr>
      <w:rPr>
        <w:rFonts w:hint="default"/>
        <w:lang w:val="zh-CN" w:eastAsia="zh-CN" w:bidi="zh-CN"/>
      </w:rPr>
    </w:lvl>
    <w:lvl w:ilvl="8" w:tentative="0">
      <w:start w:val="0"/>
      <w:numFmt w:val="bullet"/>
      <w:lvlText w:val="•"/>
      <w:lvlJc w:val="left"/>
      <w:pPr>
        <w:ind w:left="6956" w:hanging="601"/>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OWU1YWRlOTY0OGY0M2I5YWMzMDU1NmRkYTEyMTViOWQifQ=="/>
  </w:docVars>
  <w:rsids>
    <w:rsidRoot w:val="00000000"/>
    <w:rsid w:val="18D703C1"/>
    <w:rsid w:val="1C2B342B"/>
    <w:rsid w:val="20F361E3"/>
    <w:rsid w:val="2E9851BA"/>
    <w:rsid w:val="3150753D"/>
    <w:rsid w:val="32042120"/>
    <w:rsid w:val="3D8222F2"/>
    <w:rsid w:val="42C57D9C"/>
    <w:rsid w:val="4E852703"/>
    <w:rsid w:val="71850573"/>
    <w:rsid w:val="7332150C"/>
    <w:rsid w:val="796C1ACF"/>
    <w:rsid w:val="7B672520"/>
    <w:rsid w:val="7DC14A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20"/>
      <w:outlineLvl w:val="1"/>
    </w:pPr>
    <w:rPr>
      <w:rFonts w:ascii="宋体" w:hAnsi="宋体" w:eastAsia="宋体" w:cs="宋体"/>
      <w:b/>
      <w:bCs/>
      <w:sz w:val="24"/>
      <w:szCs w:val="24"/>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93"/>
      <w:ind w:left="120"/>
    </w:pPr>
    <w:rPr>
      <w:rFonts w:ascii="宋体" w:hAnsi="宋体" w:eastAsia="宋体" w:cs="宋体"/>
      <w:sz w:val="24"/>
      <w:szCs w:val="24"/>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91"/>
      <w:ind w:left="721" w:hanging="601"/>
    </w:pPr>
    <w:rPr>
      <w:rFonts w:ascii="宋体" w:hAnsi="宋体" w:eastAsia="宋体" w:cs="宋体"/>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31"/>
    <customShpInfo spid="_x0000_s1032"/>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1855</Words>
  <Characters>1895</Characters>
  <TotalTime>17</TotalTime>
  <ScaleCrop>false</ScaleCrop>
  <LinksUpToDate>false</LinksUpToDate>
  <CharactersWithSpaces>2024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2020-09-24T08:44:00Z</dcterms:created>
  <dc:creator>Administrator</dc:creator>
  <cp:lastModifiedBy>Administrator</cp:lastModifiedBy>
  <cp:lastPrinted>2023-11-30T07:58:00Z</cp:lastPrinted>
  <dcterms:modified xsi:type="dcterms:W3CDTF">2024-11-19T07:17:17Z</dcterms:modified>
  <dc:title>安园学字［2015］006号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2019-11-04T00:00:00Z</vt:filetime>
  </property>
  <property fmtid="{D5CDD505-2E9C-101B-9397-08002B2CF9AE}" pid="3" name="Creator">
    <vt:lpwstr>WPS 文字</vt:lpwstr>
  </property>
  <property fmtid="{D5CDD505-2E9C-101B-9397-08002B2CF9AE}" pid="4" name="LastSaved">
    <vt:filetime>2020-09-24T00:00:00Z</vt:filetime>
  </property>
  <property fmtid="{D5CDD505-2E9C-101B-9397-08002B2CF9AE}" pid="5" name="KSOProductBuildVer">
    <vt:lpwstr>2052-12.1.0.18608</vt:lpwstr>
  </property>
  <property fmtid="{D5CDD505-2E9C-101B-9397-08002B2CF9AE}" pid="6" name="ICV">
    <vt:lpwstr>4CF5D20C966A4340AA3144204D769223</vt:lpwstr>
  </property>
</Properties>
</file>